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604D7" w14:textId="77777777" w:rsidR="00023AAF" w:rsidRDefault="00BD4440" w:rsidP="00CE71D5">
      <w:pPr>
        <w:jc w:val="center"/>
        <w:rPr>
          <w:b/>
          <w:bCs/>
          <w:sz w:val="28"/>
          <w:szCs w:val="28"/>
        </w:rPr>
      </w:pPr>
      <w:r w:rsidRPr="00CE71D5">
        <w:rPr>
          <w:b/>
          <w:bCs/>
          <w:sz w:val="28"/>
          <w:szCs w:val="28"/>
        </w:rPr>
        <w:t>Series Overview</w:t>
      </w:r>
    </w:p>
    <w:p w14:paraId="3FDBD2C1" w14:textId="2B851727" w:rsidR="00BD4440" w:rsidRPr="00023AAF" w:rsidRDefault="00CE71D5" w:rsidP="00CE71D5">
      <w:pPr>
        <w:jc w:val="center"/>
      </w:pPr>
      <w:r w:rsidRPr="00023AAF">
        <w:t>March 31, 2020</w:t>
      </w:r>
    </w:p>
    <w:p w14:paraId="44317BB2" w14:textId="4453E814" w:rsidR="00BD4440" w:rsidRDefault="00BD4440" w:rsidP="00CE71D5">
      <w:pPr>
        <w:rPr>
          <w:b/>
          <w:bCs/>
        </w:rPr>
      </w:pPr>
    </w:p>
    <w:p w14:paraId="0782E0E7" w14:textId="374E3454" w:rsidR="00BD4440" w:rsidRDefault="007A2C96" w:rsidP="00023AAF">
      <w:pPr>
        <w:spacing w:after="120"/>
        <w:rPr>
          <w:b/>
          <w:bCs/>
        </w:rPr>
      </w:pPr>
      <w:r>
        <w:rPr>
          <w:b/>
          <w:bCs/>
        </w:rPr>
        <w:t>Speaker Notes</w:t>
      </w:r>
    </w:p>
    <w:tbl>
      <w:tblPr>
        <w:tblStyle w:val="TableGrid"/>
        <w:tblW w:w="0" w:type="auto"/>
        <w:tblLook w:val="04A0" w:firstRow="1" w:lastRow="0" w:firstColumn="1" w:lastColumn="0" w:noHBand="0" w:noVBand="1"/>
      </w:tblPr>
      <w:tblGrid>
        <w:gridCol w:w="3116"/>
        <w:gridCol w:w="3117"/>
        <w:gridCol w:w="3117"/>
      </w:tblGrid>
      <w:tr w:rsidR="00063E35" w14:paraId="582DC37F" w14:textId="77777777" w:rsidTr="00933E5C">
        <w:tc>
          <w:tcPr>
            <w:tcW w:w="3116" w:type="dxa"/>
            <w:shd w:val="clear" w:color="auto" w:fill="E7E6E6" w:themeFill="background2"/>
          </w:tcPr>
          <w:p w14:paraId="11621CE1" w14:textId="77777777" w:rsidR="00933E5C" w:rsidRDefault="00063E35" w:rsidP="002E1AEA">
            <w:pPr>
              <w:rPr>
                <w:b/>
                <w:bCs/>
              </w:rPr>
            </w:pPr>
            <w:r>
              <w:rPr>
                <w:b/>
                <w:bCs/>
              </w:rPr>
              <w:t>Bernadine Joselyn</w:t>
            </w:r>
            <w:r w:rsidR="002E1AEA" w:rsidRPr="00933E5C">
              <w:t>,</w:t>
            </w:r>
            <w:r w:rsidR="002E1AEA">
              <w:rPr>
                <w:b/>
                <w:bCs/>
              </w:rPr>
              <w:t xml:space="preserve"> </w:t>
            </w:r>
          </w:p>
          <w:p w14:paraId="0E7189B9" w14:textId="4C37BD33" w:rsidR="002E1AEA" w:rsidRPr="002E1AEA" w:rsidRDefault="002E1AEA" w:rsidP="002E1AEA">
            <w:r>
              <w:t>Blandin Foundation</w:t>
            </w:r>
          </w:p>
        </w:tc>
        <w:tc>
          <w:tcPr>
            <w:tcW w:w="3117" w:type="dxa"/>
            <w:shd w:val="clear" w:color="auto" w:fill="E7E6E6" w:themeFill="background2"/>
          </w:tcPr>
          <w:p w14:paraId="2944F24F" w14:textId="3B1D3C67" w:rsidR="002E1AEA" w:rsidRPr="002E1AEA" w:rsidRDefault="00063E35" w:rsidP="007A2C96">
            <w:r>
              <w:rPr>
                <w:b/>
                <w:bCs/>
              </w:rPr>
              <w:t>Angie Dickison</w:t>
            </w:r>
            <w:r w:rsidR="002E1AEA" w:rsidRPr="00933E5C">
              <w:t xml:space="preserve">, </w:t>
            </w:r>
            <w:r w:rsidR="002E1AEA">
              <w:t>MN Office of Broadband Development</w:t>
            </w:r>
          </w:p>
        </w:tc>
        <w:tc>
          <w:tcPr>
            <w:tcW w:w="3117" w:type="dxa"/>
            <w:shd w:val="clear" w:color="auto" w:fill="E7E6E6" w:themeFill="background2"/>
          </w:tcPr>
          <w:p w14:paraId="34BD2B2A" w14:textId="6BA315A1" w:rsidR="002E1AEA" w:rsidRPr="002E1AEA" w:rsidRDefault="00063E35" w:rsidP="00063E35">
            <w:r>
              <w:rPr>
                <w:b/>
                <w:bCs/>
              </w:rPr>
              <w:t>Bill Coleman</w:t>
            </w:r>
            <w:r w:rsidR="002E1AEA" w:rsidRPr="00933E5C">
              <w:t>,</w:t>
            </w:r>
            <w:r w:rsidR="002E1AEA">
              <w:rPr>
                <w:b/>
                <w:bCs/>
              </w:rPr>
              <w:t xml:space="preserve"> </w:t>
            </w:r>
            <w:r w:rsidR="002E1AEA">
              <w:t>Community Technology Advisors</w:t>
            </w:r>
          </w:p>
        </w:tc>
      </w:tr>
      <w:tr w:rsidR="00CE71D5" w14:paraId="4E01EE3B" w14:textId="77777777" w:rsidTr="00023AAF">
        <w:trPr>
          <w:trHeight w:val="1584"/>
        </w:trPr>
        <w:tc>
          <w:tcPr>
            <w:tcW w:w="3116" w:type="dxa"/>
          </w:tcPr>
          <w:p w14:paraId="71D3CCB6" w14:textId="77777777" w:rsidR="00CE71D5" w:rsidRDefault="00CE71D5" w:rsidP="002E1AEA">
            <w:pPr>
              <w:rPr>
                <w:b/>
                <w:bCs/>
              </w:rPr>
            </w:pPr>
          </w:p>
        </w:tc>
        <w:tc>
          <w:tcPr>
            <w:tcW w:w="3117" w:type="dxa"/>
          </w:tcPr>
          <w:p w14:paraId="656162D8" w14:textId="77777777" w:rsidR="00CE71D5" w:rsidRDefault="00CE71D5" w:rsidP="007A2C96">
            <w:pPr>
              <w:rPr>
                <w:b/>
                <w:bCs/>
              </w:rPr>
            </w:pPr>
          </w:p>
        </w:tc>
        <w:tc>
          <w:tcPr>
            <w:tcW w:w="3117" w:type="dxa"/>
          </w:tcPr>
          <w:p w14:paraId="6419D4B4" w14:textId="77777777" w:rsidR="00CE71D5" w:rsidRDefault="00CE71D5" w:rsidP="00063E35">
            <w:pPr>
              <w:rPr>
                <w:b/>
                <w:bCs/>
              </w:rPr>
            </w:pPr>
          </w:p>
        </w:tc>
      </w:tr>
    </w:tbl>
    <w:p w14:paraId="4E4FA1FA" w14:textId="6005D1DB" w:rsidR="00BD4440" w:rsidRDefault="00BD4440" w:rsidP="00BD4440">
      <w:pPr>
        <w:rPr>
          <w:b/>
          <w:bCs/>
        </w:rPr>
      </w:pPr>
    </w:p>
    <w:p w14:paraId="3AAB6BA3" w14:textId="094C4AC9" w:rsidR="00BD4440" w:rsidRDefault="007A2C96" w:rsidP="00023AAF">
      <w:pPr>
        <w:spacing w:after="120"/>
        <w:rPr>
          <w:b/>
          <w:bCs/>
        </w:rPr>
      </w:pPr>
      <w:r>
        <w:rPr>
          <w:b/>
          <w:bCs/>
        </w:rPr>
        <w:t>Webinar Overview</w:t>
      </w:r>
    </w:p>
    <w:tbl>
      <w:tblPr>
        <w:tblStyle w:val="TableGrid"/>
        <w:tblW w:w="9355" w:type="dxa"/>
        <w:tblLook w:val="04A0" w:firstRow="1" w:lastRow="0" w:firstColumn="1" w:lastColumn="0" w:noHBand="0" w:noVBand="1"/>
      </w:tblPr>
      <w:tblGrid>
        <w:gridCol w:w="2245"/>
        <w:gridCol w:w="3510"/>
        <w:gridCol w:w="3600"/>
      </w:tblGrid>
      <w:tr w:rsidR="00B440F0" w:rsidRPr="00B440F0" w14:paraId="3C83D670" w14:textId="7D02E113" w:rsidTr="002E1AEA">
        <w:trPr>
          <w:trHeight w:val="377"/>
        </w:trPr>
        <w:tc>
          <w:tcPr>
            <w:tcW w:w="2245" w:type="dxa"/>
            <w:shd w:val="clear" w:color="auto" w:fill="E7E6E6" w:themeFill="background2"/>
            <w:vAlign w:val="center"/>
          </w:tcPr>
          <w:p w14:paraId="69AE8003" w14:textId="522F7CBE" w:rsidR="00B440F0" w:rsidRPr="00B440F0" w:rsidRDefault="00B440F0" w:rsidP="00CE71D5">
            <w:pPr>
              <w:jc w:val="center"/>
              <w:rPr>
                <w:b/>
                <w:bCs/>
              </w:rPr>
            </w:pPr>
            <w:r w:rsidRPr="00B440F0">
              <w:rPr>
                <w:b/>
                <w:bCs/>
              </w:rPr>
              <w:t>Webinar Topic</w:t>
            </w:r>
          </w:p>
        </w:tc>
        <w:tc>
          <w:tcPr>
            <w:tcW w:w="3510" w:type="dxa"/>
            <w:shd w:val="clear" w:color="auto" w:fill="E7E6E6" w:themeFill="background2"/>
            <w:vAlign w:val="center"/>
          </w:tcPr>
          <w:p w14:paraId="6671F2FE" w14:textId="3107B27D" w:rsidR="00B440F0" w:rsidRPr="00B440F0" w:rsidRDefault="00B440F0" w:rsidP="00CE71D5">
            <w:pPr>
              <w:jc w:val="center"/>
              <w:rPr>
                <w:b/>
                <w:bCs/>
              </w:rPr>
            </w:pPr>
            <w:r w:rsidRPr="00B440F0">
              <w:rPr>
                <w:b/>
                <w:bCs/>
              </w:rPr>
              <w:t>Who else needs to hear this?</w:t>
            </w:r>
          </w:p>
        </w:tc>
        <w:tc>
          <w:tcPr>
            <w:tcW w:w="3600" w:type="dxa"/>
            <w:shd w:val="clear" w:color="auto" w:fill="E7E6E6" w:themeFill="background2"/>
            <w:vAlign w:val="center"/>
          </w:tcPr>
          <w:p w14:paraId="72818744" w14:textId="50597CDA" w:rsidR="00B440F0" w:rsidRPr="00B440F0" w:rsidRDefault="00023AAF" w:rsidP="00CE71D5">
            <w:pPr>
              <w:jc w:val="center"/>
              <w:rPr>
                <w:b/>
                <w:bCs/>
              </w:rPr>
            </w:pPr>
            <w:r>
              <w:rPr>
                <w:b/>
                <w:bCs/>
              </w:rPr>
              <w:t>How does this apply to my community</w:t>
            </w:r>
            <w:r w:rsidR="002E1AEA">
              <w:rPr>
                <w:b/>
                <w:bCs/>
              </w:rPr>
              <w:t>?</w:t>
            </w:r>
          </w:p>
        </w:tc>
      </w:tr>
      <w:tr w:rsidR="00B440F0" w:rsidRPr="00B440F0" w14:paraId="6211A702" w14:textId="6E2F3529" w:rsidTr="00023AAF">
        <w:trPr>
          <w:trHeight w:val="1152"/>
        </w:trPr>
        <w:tc>
          <w:tcPr>
            <w:tcW w:w="2245" w:type="dxa"/>
            <w:vAlign w:val="center"/>
          </w:tcPr>
          <w:p w14:paraId="4F82A570" w14:textId="77777777" w:rsidR="00B440F0" w:rsidRPr="00B440F0" w:rsidRDefault="00B440F0" w:rsidP="002E1AEA">
            <w:pPr>
              <w:rPr>
                <w:b/>
                <w:bCs/>
              </w:rPr>
            </w:pPr>
            <w:r w:rsidRPr="00B440F0">
              <w:rPr>
                <w:b/>
                <w:bCs/>
              </w:rPr>
              <w:t>Series Overview</w:t>
            </w:r>
          </w:p>
        </w:tc>
        <w:tc>
          <w:tcPr>
            <w:tcW w:w="3510" w:type="dxa"/>
          </w:tcPr>
          <w:p w14:paraId="0828FE14" w14:textId="0AC8676D" w:rsidR="00B440F0" w:rsidRPr="00B440F0" w:rsidRDefault="00B440F0" w:rsidP="008C7E41"/>
        </w:tc>
        <w:tc>
          <w:tcPr>
            <w:tcW w:w="3600" w:type="dxa"/>
          </w:tcPr>
          <w:p w14:paraId="241750AB" w14:textId="77777777" w:rsidR="00B440F0" w:rsidRPr="00B440F0" w:rsidRDefault="00B440F0" w:rsidP="008C7E41"/>
        </w:tc>
      </w:tr>
      <w:tr w:rsidR="00B440F0" w:rsidRPr="00B440F0" w14:paraId="03C89872" w14:textId="2D7E83D1" w:rsidTr="00023AAF">
        <w:trPr>
          <w:trHeight w:val="1152"/>
        </w:trPr>
        <w:tc>
          <w:tcPr>
            <w:tcW w:w="2245" w:type="dxa"/>
            <w:vAlign w:val="center"/>
          </w:tcPr>
          <w:p w14:paraId="5A40D217" w14:textId="77777777" w:rsidR="00B440F0" w:rsidRPr="00B440F0" w:rsidRDefault="00B440F0" w:rsidP="002E1AEA">
            <w:pPr>
              <w:rPr>
                <w:b/>
                <w:bCs/>
              </w:rPr>
            </w:pPr>
            <w:r w:rsidRPr="00B440F0">
              <w:rPr>
                <w:b/>
                <w:bCs/>
              </w:rPr>
              <w:t>Setting the Vision</w:t>
            </w:r>
          </w:p>
        </w:tc>
        <w:tc>
          <w:tcPr>
            <w:tcW w:w="3510" w:type="dxa"/>
          </w:tcPr>
          <w:p w14:paraId="6FF8F9F9" w14:textId="09DCBCFD" w:rsidR="00B440F0" w:rsidRPr="00B440F0" w:rsidRDefault="00B440F0" w:rsidP="008C7E41"/>
        </w:tc>
        <w:tc>
          <w:tcPr>
            <w:tcW w:w="3600" w:type="dxa"/>
          </w:tcPr>
          <w:p w14:paraId="6993BEA4" w14:textId="77777777" w:rsidR="00B440F0" w:rsidRPr="00B440F0" w:rsidRDefault="00B440F0" w:rsidP="008C7E41"/>
        </w:tc>
      </w:tr>
      <w:tr w:rsidR="00B440F0" w:rsidRPr="00B440F0" w14:paraId="5AC3CCDA" w14:textId="640591FC" w:rsidTr="00023AAF">
        <w:trPr>
          <w:trHeight w:val="1152"/>
        </w:trPr>
        <w:tc>
          <w:tcPr>
            <w:tcW w:w="2245" w:type="dxa"/>
            <w:vAlign w:val="center"/>
          </w:tcPr>
          <w:p w14:paraId="418D09F5" w14:textId="77777777" w:rsidR="00B440F0" w:rsidRPr="00B440F0" w:rsidRDefault="00B440F0" w:rsidP="002E1AEA">
            <w:pPr>
              <w:rPr>
                <w:b/>
                <w:bCs/>
              </w:rPr>
            </w:pPr>
            <w:r w:rsidRPr="00B440F0">
              <w:rPr>
                <w:b/>
                <w:bCs/>
              </w:rPr>
              <w:t>Broadband 101</w:t>
            </w:r>
          </w:p>
        </w:tc>
        <w:tc>
          <w:tcPr>
            <w:tcW w:w="3510" w:type="dxa"/>
          </w:tcPr>
          <w:p w14:paraId="71BB22E3" w14:textId="7B15F38B" w:rsidR="00B440F0" w:rsidRPr="00B440F0" w:rsidRDefault="00B440F0" w:rsidP="008C7E41"/>
        </w:tc>
        <w:tc>
          <w:tcPr>
            <w:tcW w:w="3600" w:type="dxa"/>
          </w:tcPr>
          <w:p w14:paraId="44BE6CC7" w14:textId="77777777" w:rsidR="00B440F0" w:rsidRPr="00B440F0" w:rsidRDefault="00B440F0" w:rsidP="008C7E41"/>
        </w:tc>
      </w:tr>
      <w:tr w:rsidR="00B440F0" w:rsidRPr="00B440F0" w14:paraId="419E4897" w14:textId="585FEE46" w:rsidTr="00023AAF">
        <w:trPr>
          <w:trHeight w:val="1152"/>
        </w:trPr>
        <w:tc>
          <w:tcPr>
            <w:tcW w:w="2245" w:type="dxa"/>
            <w:vAlign w:val="center"/>
          </w:tcPr>
          <w:p w14:paraId="2496A0A9" w14:textId="77777777" w:rsidR="00B440F0" w:rsidRPr="00B440F0" w:rsidRDefault="00B440F0" w:rsidP="002E1AEA">
            <w:pPr>
              <w:rPr>
                <w:b/>
                <w:bCs/>
              </w:rPr>
            </w:pPr>
            <w:r w:rsidRPr="00B440F0">
              <w:rPr>
                <w:b/>
                <w:bCs/>
              </w:rPr>
              <w:t xml:space="preserve">Community Broadband Surveys </w:t>
            </w:r>
          </w:p>
        </w:tc>
        <w:tc>
          <w:tcPr>
            <w:tcW w:w="3510" w:type="dxa"/>
          </w:tcPr>
          <w:p w14:paraId="440C23A2" w14:textId="2266E9F3" w:rsidR="00B440F0" w:rsidRPr="00B440F0" w:rsidRDefault="00B440F0" w:rsidP="008C7E41"/>
        </w:tc>
        <w:tc>
          <w:tcPr>
            <w:tcW w:w="3600" w:type="dxa"/>
          </w:tcPr>
          <w:p w14:paraId="7344E76A" w14:textId="77777777" w:rsidR="00B440F0" w:rsidRPr="00B440F0" w:rsidRDefault="00B440F0" w:rsidP="008C7E41"/>
        </w:tc>
      </w:tr>
      <w:tr w:rsidR="00B440F0" w:rsidRPr="00B440F0" w14:paraId="50DAD7C3" w14:textId="356ED49B" w:rsidTr="00023AAF">
        <w:trPr>
          <w:trHeight w:val="1152"/>
        </w:trPr>
        <w:tc>
          <w:tcPr>
            <w:tcW w:w="2245" w:type="dxa"/>
            <w:vAlign w:val="center"/>
          </w:tcPr>
          <w:p w14:paraId="7053907C" w14:textId="77777777" w:rsidR="00B440F0" w:rsidRPr="00B440F0" w:rsidRDefault="00B440F0" w:rsidP="002E1AEA">
            <w:pPr>
              <w:rPr>
                <w:b/>
                <w:bCs/>
              </w:rPr>
            </w:pPr>
            <w:r w:rsidRPr="00B440F0">
              <w:rPr>
                <w:b/>
                <w:bCs/>
              </w:rPr>
              <w:t>Broadband Mapping</w:t>
            </w:r>
          </w:p>
        </w:tc>
        <w:tc>
          <w:tcPr>
            <w:tcW w:w="3510" w:type="dxa"/>
          </w:tcPr>
          <w:p w14:paraId="7D157833" w14:textId="1A29D766" w:rsidR="00B440F0" w:rsidRPr="00B440F0" w:rsidRDefault="00B440F0" w:rsidP="008C7E41"/>
        </w:tc>
        <w:tc>
          <w:tcPr>
            <w:tcW w:w="3600" w:type="dxa"/>
          </w:tcPr>
          <w:p w14:paraId="77DF04F7" w14:textId="77777777" w:rsidR="00B440F0" w:rsidRPr="00B440F0" w:rsidRDefault="00B440F0" w:rsidP="008C7E41"/>
        </w:tc>
      </w:tr>
      <w:tr w:rsidR="00B440F0" w:rsidRPr="00B440F0" w14:paraId="2E3337AD" w14:textId="41CE5C96" w:rsidTr="00023AAF">
        <w:trPr>
          <w:trHeight w:val="1152"/>
        </w:trPr>
        <w:tc>
          <w:tcPr>
            <w:tcW w:w="2245" w:type="dxa"/>
            <w:vAlign w:val="center"/>
          </w:tcPr>
          <w:p w14:paraId="76943146" w14:textId="77777777" w:rsidR="00B440F0" w:rsidRPr="00B440F0" w:rsidRDefault="00B440F0" w:rsidP="002E1AEA">
            <w:pPr>
              <w:rPr>
                <w:b/>
                <w:bCs/>
              </w:rPr>
            </w:pPr>
            <w:r w:rsidRPr="00B440F0">
              <w:rPr>
                <w:b/>
                <w:bCs/>
              </w:rPr>
              <w:t>Ownership Models and Provider Partnerships</w:t>
            </w:r>
          </w:p>
        </w:tc>
        <w:tc>
          <w:tcPr>
            <w:tcW w:w="3510" w:type="dxa"/>
          </w:tcPr>
          <w:p w14:paraId="18069408" w14:textId="079F7479" w:rsidR="00B440F0" w:rsidRPr="00B440F0" w:rsidRDefault="00B440F0" w:rsidP="008C7E41"/>
        </w:tc>
        <w:tc>
          <w:tcPr>
            <w:tcW w:w="3600" w:type="dxa"/>
          </w:tcPr>
          <w:p w14:paraId="24C2ACDA" w14:textId="77777777" w:rsidR="00B440F0" w:rsidRPr="00B440F0" w:rsidRDefault="00B440F0" w:rsidP="008C7E41"/>
        </w:tc>
      </w:tr>
      <w:tr w:rsidR="00B440F0" w:rsidRPr="00B440F0" w14:paraId="5780D979" w14:textId="5B6DF02D" w:rsidTr="00023AAF">
        <w:trPr>
          <w:trHeight w:val="1152"/>
        </w:trPr>
        <w:tc>
          <w:tcPr>
            <w:tcW w:w="2245" w:type="dxa"/>
            <w:vAlign w:val="center"/>
          </w:tcPr>
          <w:p w14:paraId="7DEBBB64" w14:textId="77777777" w:rsidR="00B440F0" w:rsidRPr="00B440F0" w:rsidRDefault="00B440F0" w:rsidP="002E1AEA">
            <w:pPr>
              <w:rPr>
                <w:b/>
                <w:bCs/>
              </w:rPr>
            </w:pPr>
            <w:r w:rsidRPr="00B440F0">
              <w:rPr>
                <w:b/>
                <w:bCs/>
              </w:rPr>
              <w:lastRenderedPageBreak/>
              <w:t>Feasibility Studies</w:t>
            </w:r>
          </w:p>
        </w:tc>
        <w:tc>
          <w:tcPr>
            <w:tcW w:w="3510" w:type="dxa"/>
          </w:tcPr>
          <w:p w14:paraId="275AB981" w14:textId="771CC1FA" w:rsidR="00B440F0" w:rsidRPr="00B440F0" w:rsidRDefault="00B440F0" w:rsidP="008C7E41"/>
        </w:tc>
        <w:tc>
          <w:tcPr>
            <w:tcW w:w="3600" w:type="dxa"/>
          </w:tcPr>
          <w:p w14:paraId="23A3C50B" w14:textId="77777777" w:rsidR="00B440F0" w:rsidRPr="00B440F0" w:rsidRDefault="00B440F0" w:rsidP="008C7E41"/>
        </w:tc>
      </w:tr>
      <w:tr w:rsidR="00B440F0" w:rsidRPr="00B440F0" w14:paraId="4A24F2BF" w14:textId="5CCAF08A" w:rsidTr="00023AAF">
        <w:trPr>
          <w:trHeight w:val="1152"/>
        </w:trPr>
        <w:tc>
          <w:tcPr>
            <w:tcW w:w="2245" w:type="dxa"/>
            <w:vAlign w:val="center"/>
          </w:tcPr>
          <w:p w14:paraId="0523D166" w14:textId="77777777" w:rsidR="00B440F0" w:rsidRPr="00B440F0" w:rsidRDefault="00B440F0" w:rsidP="002E1AEA">
            <w:pPr>
              <w:rPr>
                <w:b/>
                <w:bCs/>
              </w:rPr>
            </w:pPr>
            <w:r w:rsidRPr="00B440F0">
              <w:rPr>
                <w:b/>
                <w:bCs/>
              </w:rPr>
              <w:t>Federal and State Broadband Finance Programs</w:t>
            </w:r>
          </w:p>
        </w:tc>
        <w:tc>
          <w:tcPr>
            <w:tcW w:w="3510" w:type="dxa"/>
          </w:tcPr>
          <w:p w14:paraId="20695103" w14:textId="77777777" w:rsidR="00B440F0" w:rsidRPr="00B440F0" w:rsidRDefault="00B440F0" w:rsidP="008C7E41"/>
        </w:tc>
        <w:tc>
          <w:tcPr>
            <w:tcW w:w="3600" w:type="dxa"/>
          </w:tcPr>
          <w:p w14:paraId="707ACB27" w14:textId="77777777" w:rsidR="00B440F0" w:rsidRPr="00B440F0" w:rsidRDefault="00B440F0" w:rsidP="008C7E41"/>
        </w:tc>
      </w:tr>
      <w:tr w:rsidR="00B440F0" w:rsidRPr="00B440F0" w14:paraId="2D863135" w14:textId="31D07C06" w:rsidTr="00023AAF">
        <w:trPr>
          <w:trHeight w:val="1152"/>
        </w:trPr>
        <w:tc>
          <w:tcPr>
            <w:tcW w:w="2245" w:type="dxa"/>
            <w:vAlign w:val="center"/>
          </w:tcPr>
          <w:p w14:paraId="0681682D" w14:textId="77777777" w:rsidR="00B440F0" w:rsidRPr="00B440F0" w:rsidRDefault="00B440F0" w:rsidP="002E1AEA">
            <w:pPr>
              <w:rPr>
                <w:b/>
                <w:bCs/>
              </w:rPr>
            </w:pPr>
            <w:r w:rsidRPr="00B440F0">
              <w:rPr>
                <w:b/>
                <w:bCs/>
              </w:rPr>
              <w:t>Local Broadband Finance Options</w:t>
            </w:r>
          </w:p>
        </w:tc>
        <w:tc>
          <w:tcPr>
            <w:tcW w:w="3510" w:type="dxa"/>
          </w:tcPr>
          <w:p w14:paraId="04F11484" w14:textId="2062FA43" w:rsidR="00B440F0" w:rsidRPr="00B440F0" w:rsidRDefault="00B440F0" w:rsidP="008C7E41"/>
        </w:tc>
        <w:tc>
          <w:tcPr>
            <w:tcW w:w="3600" w:type="dxa"/>
          </w:tcPr>
          <w:p w14:paraId="2632B88A" w14:textId="77777777" w:rsidR="00B440F0" w:rsidRPr="00B440F0" w:rsidRDefault="00B440F0" w:rsidP="008C7E41"/>
        </w:tc>
      </w:tr>
      <w:tr w:rsidR="00B440F0" w:rsidRPr="00B440F0" w14:paraId="66B4291D" w14:textId="02DE4F1E" w:rsidTr="00023AAF">
        <w:trPr>
          <w:trHeight w:val="1152"/>
        </w:trPr>
        <w:tc>
          <w:tcPr>
            <w:tcW w:w="2245" w:type="dxa"/>
            <w:vAlign w:val="center"/>
          </w:tcPr>
          <w:p w14:paraId="101A9433" w14:textId="77777777" w:rsidR="00B440F0" w:rsidRPr="00B440F0" w:rsidRDefault="00B440F0" w:rsidP="002E1AEA">
            <w:pPr>
              <w:rPr>
                <w:b/>
                <w:bCs/>
              </w:rPr>
            </w:pPr>
            <w:r w:rsidRPr="00B440F0">
              <w:rPr>
                <w:b/>
                <w:bCs/>
              </w:rPr>
              <w:t>Making it Happen: Partnerships!</w:t>
            </w:r>
          </w:p>
        </w:tc>
        <w:tc>
          <w:tcPr>
            <w:tcW w:w="3510" w:type="dxa"/>
          </w:tcPr>
          <w:p w14:paraId="10F6939C" w14:textId="5645E668" w:rsidR="00B440F0" w:rsidRPr="00B440F0" w:rsidRDefault="00B440F0" w:rsidP="008C7E41"/>
        </w:tc>
        <w:tc>
          <w:tcPr>
            <w:tcW w:w="3600" w:type="dxa"/>
          </w:tcPr>
          <w:p w14:paraId="258DE23B" w14:textId="77777777" w:rsidR="00B440F0" w:rsidRPr="00B440F0" w:rsidRDefault="00B440F0" w:rsidP="008C7E41"/>
        </w:tc>
      </w:tr>
    </w:tbl>
    <w:p w14:paraId="49E67C1D" w14:textId="2B764AAD" w:rsidR="00BD4440" w:rsidRDefault="00BD4440">
      <w:pPr>
        <w:rPr>
          <w:b/>
          <w:bCs/>
        </w:rPr>
      </w:pPr>
    </w:p>
    <w:p w14:paraId="741B9F51" w14:textId="77777777" w:rsidR="00023AAF" w:rsidRDefault="00023AAF">
      <w:pPr>
        <w:rPr>
          <w:b/>
          <w:bCs/>
        </w:rPr>
      </w:pPr>
    </w:p>
    <w:p w14:paraId="1F097C07" w14:textId="77777777" w:rsidR="00BD4440" w:rsidRDefault="00BD4440" w:rsidP="00023AAF">
      <w:pPr>
        <w:pBdr>
          <w:bottom w:val="single" w:sz="4" w:space="1" w:color="auto"/>
        </w:pBdr>
        <w:spacing w:after="120"/>
        <w:rPr>
          <w:b/>
          <w:bCs/>
        </w:rPr>
      </w:pPr>
      <w:r>
        <w:rPr>
          <w:b/>
          <w:bCs/>
        </w:rPr>
        <w:t xml:space="preserve">Key Community Question: </w:t>
      </w:r>
    </w:p>
    <w:p w14:paraId="08E0EA58" w14:textId="6579855D" w:rsidR="00B440F0" w:rsidRDefault="00BD4440">
      <w:pPr>
        <w:rPr>
          <w:b/>
          <w:bCs/>
        </w:rPr>
      </w:pPr>
      <w:r w:rsidRPr="00BD4440">
        <w:t xml:space="preserve">How do we activate our community </w:t>
      </w:r>
      <w:proofErr w:type="gramStart"/>
      <w:r w:rsidRPr="00BD4440">
        <w:t>so as to</w:t>
      </w:r>
      <w:proofErr w:type="gramEnd"/>
      <w:r w:rsidRPr="00BD4440">
        <w:t xml:space="preserve"> create a successful Border</w:t>
      </w:r>
      <w:r w:rsidR="00CE71D5">
        <w:t>-</w:t>
      </w:r>
      <w:r w:rsidRPr="00BD4440">
        <w:t>to</w:t>
      </w:r>
      <w:r w:rsidR="00CE71D5">
        <w:t>-</w:t>
      </w:r>
      <w:r w:rsidRPr="00BD4440">
        <w:t xml:space="preserve">Border Broadband grant application for the September deadline </w:t>
      </w:r>
      <w:r w:rsidR="00063E35">
        <w:t>and any</w:t>
      </w:r>
      <w:r w:rsidRPr="00BD4440">
        <w:t xml:space="preserve"> interim program deadlines?</w:t>
      </w:r>
      <w:r w:rsidR="00B440F0">
        <w:rPr>
          <w:b/>
          <w:bCs/>
        </w:rPr>
        <w:br w:type="page"/>
      </w:r>
    </w:p>
    <w:p w14:paraId="29E4FB0E" w14:textId="0E256293" w:rsidR="00023AAF" w:rsidRDefault="00023AAF" w:rsidP="00BD4440">
      <w:pPr>
        <w:jc w:val="center"/>
        <w:rPr>
          <w:b/>
          <w:bCs/>
          <w:sz w:val="28"/>
          <w:szCs w:val="28"/>
        </w:rPr>
      </w:pPr>
      <w:r>
        <w:rPr>
          <w:b/>
          <w:bCs/>
          <w:sz w:val="28"/>
          <w:szCs w:val="28"/>
        </w:rPr>
        <w:lastRenderedPageBreak/>
        <w:t>Setting the</w:t>
      </w:r>
      <w:r w:rsidR="00BD4440" w:rsidRPr="00CE71D5">
        <w:rPr>
          <w:b/>
          <w:bCs/>
          <w:sz w:val="28"/>
          <w:szCs w:val="28"/>
        </w:rPr>
        <w:t xml:space="preserve"> Vision</w:t>
      </w:r>
    </w:p>
    <w:p w14:paraId="00364D79" w14:textId="0815081D" w:rsidR="00BD4440" w:rsidRPr="00023AAF" w:rsidRDefault="00CE71D5" w:rsidP="00BD4440">
      <w:pPr>
        <w:jc w:val="center"/>
      </w:pPr>
      <w:r w:rsidRPr="00023AAF">
        <w:t>April 2, 2020</w:t>
      </w:r>
    </w:p>
    <w:p w14:paraId="3E14FD25" w14:textId="77777777" w:rsidR="00B440F0" w:rsidRDefault="00B440F0" w:rsidP="00B440F0">
      <w:pPr>
        <w:jc w:val="center"/>
        <w:rPr>
          <w:b/>
          <w:bCs/>
        </w:rPr>
      </w:pPr>
    </w:p>
    <w:p w14:paraId="44EFCE38" w14:textId="77777777" w:rsidR="00063E35" w:rsidRPr="007A2C96" w:rsidRDefault="00063E35" w:rsidP="00023AAF">
      <w:pPr>
        <w:spacing w:after="120"/>
        <w:rPr>
          <w:rFonts w:cstheme="minorHAnsi"/>
          <w:b/>
          <w:bCs/>
        </w:rPr>
      </w:pPr>
      <w:r>
        <w:rPr>
          <w:rFonts w:cstheme="minorHAnsi"/>
          <w:b/>
          <w:bCs/>
        </w:rPr>
        <w:t>Speaker notes</w:t>
      </w:r>
    </w:p>
    <w:tbl>
      <w:tblPr>
        <w:tblStyle w:val="TableGrid"/>
        <w:tblW w:w="0" w:type="auto"/>
        <w:tblLook w:val="04A0" w:firstRow="1" w:lastRow="0" w:firstColumn="1" w:lastColumn="0" w:noHBand="0" w:noVBand="1"/>
      </w:tblPr>
      <w:tblGrid>
        <w:gridCol w:w="2337"/>
        <w:gridCol w:w="2337"/>
        <w:gridCol w:w="2338"/>
        <w:gridCol w:w="2338"/>
      </w:tblGrid>
      <w:tr w:rsidR="00063E35" w:rsidRPr="00063E35" w14:paraId="49ECF142" w14:textId="77777777" w:rsidTr="00933E5C">
        <w:tc>
          <w:tcPr>
            <w:tcW w:w="2337" w:type="dxa"/>
            <w:shd w:val="clear" w:color="auto" w:fill="E7E6E6" w:themeFill="background2"/>
          </w:tcPr>
          <w:p w14:paraId="387E5A6C" w14:textId="77777777" w:rsidR="00063E35" w:rsidRDefault="00063E35" w:rsidP="005D421D">
            <w:pPr>
              <w:rPr>
                <w:rFonts w:cstheme="minorHAnsi"/>
              </w:rPr>
            </w:pPr>
            <w:r w:rsidRPr="00063E35">
              <w:rPr>
                <w:rFonts w:cstheme="minorHAnsi"/>
                <w:b/>
                <w:bCs/>
              </w:rPr>
              <w:t>Bernadine Joselyn</w:t>
            </w:r>
            <w:r w:rsidR="002E1AEA">
              <w:rPr>
                <w:rFonts w:cstheme="minorHAnsi"/>
              </w:rPr>
              <w:t>, Blandin Foundation</w:t>
            </w:r>
          </w:p>
          <w:p w14:paraId="3EC71921" w14:textId="66B49328" w:rsidR="002E1AEA" w:rsidRPr="002E1AEA" w:rsidRDefault="002E1AEA" w:rsidP="005D421D">
            <w:pPr>
              <w:rPr>
                <w:rFonts w:cstheme="minorHAnsi"/>
              </w:rPr>
            </w:pPr>
          </w:p>
        </w:tc>
        <w:tc>
          <w:tcPr>
            <w:tcW w:w="2337" w:type="dxa"/>
            <w:shd w:val="clear" w:color="auto" w:fill="E7E6E6" w:themeFill="background2"/>
          </w:tcPr>
          <w:p w14:paraId="2E2E7B01" w14:textId="77777777" w:rsidR="00933E5C" w:rsidRDefault="00063E35" w:rsidP="005D421D">
            <w:pPr>
              <w:rPr>
                <w:rFonts w:cstheme="minorHAnsi"/>
              </w:rPr>
            </w:pPr>
            <w:r w:rsidRPr="00063E35">
              <w:rPr>
                <w:rFonts w:cstheme="minorHAnsi"/>
                <w:b/>
                <w:bCs/>
              </w:rPr>
              <w:t>Betsy Olivanti</w:t>
            </w:r>
            <w:r w:rsidR="002E1AEA">
              <w:rPr>
                <w:rFonts w:cstheme="minorHAnsi"/>
              </w:rPr>
              <w:t xml:space="preserve">, </w:t>
            </w:r>
          </w:p>
          <w:p w14:paraId="771BD835" w14:textId="00614205" w:rsidR="002E1AEA" w:rsidRPr="002E1AEA" w:rsidRDefault="002E1AEA" w:rsidP="005D421D">
            <w:pPr>
              <w:rPr>
                <w:rFonts w:cstheme="minorHAnsi"/>
              </w:rPr>
            </w:pPr>
            <w:r>
              <w:rPr>
                <w:rFonts w:cstheme="minorHAnsi"/>
              </w:rPr>
              <w:t>NE MN Small Business Dev Center</w:t>
            </w:r>
          </w:p>
        </w:tc>
        <w:tc>
          <w:tcPr>
            <w:tcW w:w="2338" w:type="dxa"/>
            <w:shd w:val="clear" w:color="auto" w:fill="E7E6E6" w:themeFill="background2"/>
          </w:tcPr>
          <w:p w14:paraId="1A1A5CA7" w14:textId="77777777" w:rsidR="00933E5C" w:rsidRDefault="00063E35" w:rsidP="005D421D">
            <w:pPr>
              <w:rPr>
                <w:rFonts w:cstheme="minorHAnsi"/>
              </w:rPr>
            </w:pPr>
            <w:r w:rsidRPr="00063E35">
              <w:rPr>
                <w:rFonts w:cstheme="minorHAnsi"/>
                <w:b/>
                <w:bCs/>
              </w:rPr>
              <w:t>Mark Erickson</w:t>
            </w:r>
            <w:r w:rsidR="002E1AEA">
              <w:rPr>
                <w:rFonts w:cstheme="minorHAnsi"/>
              </w:rPr>
              <w:t xml:space="preserve">, </w:t>
            </w:r>
          </w:p>
          <w:p w14:paraId="02426590" w14:textId="6897941F" w:rsidR="002E1AEA" w:rsidRPr="00CE71D5" w:rsidRDefault="002E1AEA" w:rsidP="005D421D">
            <w:pPr>
              <w:rPr>
                <w:rFonts w:cstheme="minorHAnsi"/>
                <w:i/>
                <w:iCs/>
              </w:rPr>
            </w:pPr>
            <w:r>
              <w:rPr>
                <w:rFonts w:cstheme="minorHAnsi"/>
              </w:rPr>
              <w:t xml:space="preserve">RS Fiber, Winthrop Admin. </w:t>
            </w:r>
            <w:r w:rsidRPr="002E1AEA">
              <w:rPr>
                <w:rFonts w:cstheme="minorHAnsi"/>
                <w:i/>
                <w:iCs/>
              </w:rPr>
              <w:t>(retired)</w:t>
            </w:r>
          </w:p>
        </w:tc>
        <w:tc>
          <w:tcPr>
            <w:tcW w:w="2338" w:type="dxa"/>
            <w:shd w:val="clear" w:color="auto" w:fill="E7E6E6" w:themeFill="background2"/>
          </w:tcPr>
          <w:p w14:paraId="5995F2FC" w14:textId="77777777" w:rsidR="00933E5C" w:rsidRDefault="00063E35" w:rsidP="005D421D">
            <w:pPr>
              <w:rPr>
                <w:rFonts w:cstheme="minorHAnsi"/>
              </w:rPr>
            </w:pPr>
            <w:r w:rsidRPr="00063E35">
              <w:rPr>
                <w:rFonts w:cstheme="minorHAnsi"/>
                <w:b/>
                <w:bCs/>
              </w:rPr>
              <w:t>Rich Sve</w:t>
            </w:r>
            <w:r w:rsidR="002E1AEA">
              <w:rPr>
                <w:rFonts w:cstheme="minorHAnsi"/>
              </w:rPr>
              <w:t xml:space="preserve">, </w:t>
            </w:r>
          </w:p>
          <w:p w14:paraId="6D93C7B0" w14:textId="7BFAA4EC" w:rsidR="00063E35" w:rsidRDefault="002E1AEA" w:rsidP="005D421D">
            <w:pPr>
              <w:rPr>
                <w:rFonts w:cstheme="minorHAnsi"/>
              </w:rPr>
            </w:pPr>
            <w:r>
              <w:rPr>
                <w:rFonts w:cstheme="minorHAnsi"/>
              </w:rPr>
              <w:t>Lake County</w:t>
            </w:r>
          </w:p>
          <w:p w14:paraId="085898DC" w14:textId="39D64EA4" w:rsidR="002E1AEA" w:rsidRPr="002E1AEA" w:rsidRDefault="002E1AEA" w:rsidP="005D421D">
            <w:pPr>
              <w:rPr>
                <w:rFonts w:cstheme="minorHAnsi"/>
              </w:rPr>
            </w:pPr>
          </w:p>
        </w:tc>
      </w:tr>
      <w:tr w:rsidR="00CE71D5" w:rsidRPr="00063E35" w14:paraId="7A068BEA" w14:textId="77777777" w:rsidTr="00023AAF">
        <w:trPr>
          <w:trHeight w:val="1584"/>
        </w:trPr>
        <w:tc>
          <w:tcPr>
            <w:tcW w:w="2337" w:type="dxa"/>
          </w:tcPr>
          <w:p w14:paraId="018EBEB3" w14:textId="77777777" w:rsidR="00CE71D5" w:rsidRPr="00063E35" w:rsidRDefault="00CE71D5" w:rsidP="005D421D">
            <w:pPr>
              <w:rPr>
                <w:rFonts w:cstheme="minorHAnsi"/>
                <w:b/>
                <w:bCs/>
              </w:rPr>
            </w:pPr>
          </w:p>
        </w:tc>
        <w:tc>
          <w:tcPr>
            <w:tcW w:w="2337" w:type="dxa"/>
          </w:tcPr>
          <w:p w14:paraId="5C369186" w14:textId="77777777" w:rsidR="00CE71D5" w:rsidRPr="00063E35" w:rsidRDefault="00CE71D5" w:rsidP="005D421D">
            <w:pPr>
              <w:rPr>
                <w:rFonts w:cstheme="minorHAnsi"/>
                <w:b/>
                <w:bCs/>
              </w:rPr>
            </w:pPr>
          </w:p>
        </w:tc>
        <w:tc>
          <w:tcPr>
            <w:tcW w:w="2338" w:type="dxa"/>
          </w:tcPr>
          <w:p w14:paraId="347999DF" w14:textId="77777777" w:rsidR="00CE71D5" w:rsidRPr="00063E35" w:rsidRDefault="00CE71D5" w:rsidP="005D421D">
            <w:pPr>
              <w:rPr>
                <w:rFonts w:cstheme="minorHAnsi"/>
                <w:b/>
                <w:bCs/>
              </w:rPr>
            </w:pPr>
          </w:p>
        </w:tc>
        <w:tc>
          <w:tcPr>
            <w:tcW w:w="2338" w:type="dxa"/>
          </w:tcPr>
          <w:p w14:paraId="3810DD4C" w14:textId="77777777" w:rsidR="00CE71D5" w:rsidRPr="00063E35" w:rsidRDefault="00CE71D5" w:rsidP="005D421D">
            <w:pPr>
              <w:rPr>
                <w:rFonts w:cstheme="minorHAnsi"/>
                <w:b/>
                <w:bCs/>
              </w:rPr>
            </w:pPr>
          </w:p>
        </w:tc>
      </w:tr>
    </w:tbl>
    <w:p w14:paraId="49185132" w14:textId="77777777" w:rsidR="00063E35" w:rsidRDefault="00063E35" w:rsidP="00B440F0">
      <w:pPr>
        <w:rPr>
          <w:rFonts w:eastAsia="Times New Roman" w:cstheme="minorHAnsi"/>
          <w:b/>
          <w:bCs/>
          <w:color w:val="000000" w:themeColor="text1"/>
        </w:rPr>
      </w:pPr>
    </w:p>
    <w:p w14:paraId="46405BD8" w14:textId="3D0021AA" w:rsidR="00B440F0" w:rsidRPr="007A2C96" w:rsidRDefault="00B440F0" w:rsidP="00695D2F">
      <w:pPr>
        <w:spacing w:after="60"/>
        <w:rPr>
          <w:rFonts w:eastAsia="Times New Roman" w:cstheme="minorHAnsi"/>
          <w:b/>
          <w:bCs/>
          <w:color w:val="000000" w:themeColor="text1"/>
        </w:rPr>
      </w:pPr>
      <w:r w:rsidRPr="007A2C96">
        <w:rPr>
          <w:rFonts w:eastAsia="Times New Roman" w:cstheme="minorHAnsi"/>
          <w:b/>
          <w:bCs/>
          <w:color w:val="000000" w:themeColor="text1"/>
        </w:rPr>
        <w:t xml:space="preserve">Why </w:t>
      </w:r>
      <w:proofErr w:type="gramStart"/>
      <w:r w:rsidRPr="007A2C96">
        <w:rPr>
          <w:rFonts w:eastAsia="Times New Roman" w:cstheme="minorHAnsi"/>
          <w:b/>
          <w:bCs/>
          <w:color w:val="000000" w:themeColor="text1"/>
        </w:rPr>
        <w:t>create</w:t>
      </w:r>
      <w:proofErr w:type="gramEnd"/>
      <w:r w:rsidRPr="007A2C96">
        <w:rPr>
          <w:rFonts w:eastAsia="Times New Roman" w:cstheme="minorHAnsi"/>
          <w:b/>
          <w:bCs/>
          <w:color w:val="000000" w:themeColor="text1"/>
        </w:rPr>
        <w:t xml:space="preserve"> a vision?</w:t>
      </w:r>
    </w:p>
    <w:p w14:paraId="2E103A6C" w14:textId="7CBB0325" w:rsidR="00B440F0" w:rsidRPr="007A2C96" w:rsidRDefault="00B440F0" w:rsidP="00B440F0">
      <w:pPr>
        <w:rPr>
          <w:rFonts w:eastAsia="Times New Roman" w:cstheme="minorHAnsi"/>
          <w:color w:val="000000" w:themeColor="text1"/>
        </w:rPr>
      </w:pPr>
      <w:r w:rsidRPr="007A2C96">
        <w:rPr>
          <w:rFonts w:eastAsia="Times New Roman" w:cstheme="minorHAnsi"/>
          <w:color w:val="000000" w:themeColor="text1"/>
        </w:rPr>
        <w:t>Creating a vision will guide your efforts to the desired outcomes that you seek. The vision can be used to inform others and to recruit them to your team, including elected officials, broadband providers, funders, citizens and others.</w:t>
      </w:r>
    </w:p>
    <w:p w14:paraId="3F9E099E" w14:textId="77777777" w:rsidR="00B440F0" w:rsidRPr="007A2C96" w:rsidRDefault="00B440F0" w:rsidP="00B440F0">
      <w:pPr>
        <w:rPr>
          <w:rFonts w:eastAsia="Times New Roman" w:cstheme="minorHAnsi"/>
          <w:b/>
          <w:bCs/>
          <w:i/>
          <w:iCs/>
          <w:color w:val="000000" w:themeColor="text1"/>
        </w:rPr>
      </w:pPr>
    </w:p>
    <w:p w14:paraId="2CE3B7B5" w14:textId="77777777" w:rsidR="00B440F0" w:rsidRPr="002E1AEA" w:rsidRDefault="00B440F0" w:rsidP="00695D2F">
      <w:pPr>
        <w:spacing w:after="60"/>
        <w:rPr>
          <w:rFonts w:eastAsia="Times New Roman" w:cstheme="minorHAnsi"/>
          <w:b/>
          <w:bCs/>
          <w:color w:val="000000" w:themeColor="text1"/>
        </w:rPr>
      </w:pPr>
      <w:r w:rsidRPr="002E1AEA">
        <w:rPr>
          <w:rFonts w:eastAsia="Times New Roman" w:cstheme="minorHAnsi"/>
          <w:b/>
          <w:bCs/>
          <w:color w:val="000000" w:themeColor="text1"/>
        </w:rPr>
        <w:t>MN Broadband Vision</w:t>
      </w:r>
    </w:p>
    <w:p w14:paraId="370B7545" w14:textId="77777777" w:rsidR="00B440F0" w:rsidRPr="000A3539" w:rsidRDefault="00B440F0" w:rsidP="00B440F0">
      <w:pPr>
        <w:rPr>
          <w:rFonts w:eastAsia="Times New Roman" w:cstheme="minorHAnsi"/>
        </w:rPr>
      </w:pPr>
      <w:r w:rsidRPr="007A2C96">
        <w:rPr>
          <w:rFonts w:eastAsia="Times New Roman" w:cstheme="minorHAnsi"/>
          <w:i/>
          <w:iCs/>
          <w:color w:val="000000" w:themeColor="text1"/>
        </w:rPr>
        <w:t>Everyone in Minnesota will be able to use convenient, affordable world-class broadband networks that enable us to survive and thrive in our communities and across the globe</w:t>
      </w:r>
      <w:r w:rsidRPr="000A3539">
        <w:rPr>
          <w:rFonts w:eastAsia="Times New Roman" w:cstheme="minorHAnsi"/>
          <w:i/>
          <w:iCs/>
          <w:color w:val="2A1301"/>
        </w:rPr>
        <w:t>.</w:t>
      </w:r>
    </w:p>
    <w:p w14:paraId="4D9E9BBA" w14:textId="77777777" w:rsidR="00B440F0" w:rsidRDefault="00B440F0" w:rsidP="00B440F0">
      <w:pPr>
        <w:rPr>
          <w:rFonts w:cstheme="minorHAnsi"/>
          <w:b/>
          <w:bCs/>
        </w:rPr>
      </w:pPr>
    </w:p>
    <w:p w14:paraId="33741465" w14:textId="2ABA7E57" w:rsidR="00B440F0" w:rsidRPr="000A3539" w:rsidRDefault="00B440F0" w:rsidP="00023AAF">
      <w:pPr>
        <w:spacing w:after="120"/>
        <w:rPr>
          <w:rFonts w:cstheme="minorHAnsi"/>
          <w:b/>
          <w:bCs/>
        </w:rPr>
      </w:pPr>
      <w:r>
        <w:rPr>
          <w:rFonts w:cstheme="minorHAnsi"/>
          <w:b/>
          <w:bCs/>
        </w:rPr>
        <w:t>Creat</w:t>
      </w:r>
      <w:r w:rsidR="007A2C96">
        <w:rPr>
          <w:rFonts w:cstheme="minorHAnsi"/>
          <w:b/>
          <w:bCs/>
        </w:rPr>
        <w:t>ing</w:t>
      </w:r>
      <w:r>
        <w:rPr>
          <w:rFonts w:cstheme="minorHAnsi"/>
          <w:b/>
          <w:bCs/>
        </w:rPr>
        <w:t xml:space="preserve"> y</w:t>
      </w:r>
      <w:r w:rsidRPr="000A3539">
        <w:rPr>
          <w:rFonts w:cstheme="minorHAnsi"/>
          <w:b/>
          <w:bCs/>
        </w:rPr>
        <w:t>our community broadband vision</w:t>
      </w:r>
    </w:p>
    <w:p w14:paraId="073F391E" w14:textId="5454E4E5" w:rsidR="00B440F0" w:rsidRPr="002E1AEA" w:rsidRDefault="00B440F0" w:rsidP="002E1AEA">
      <w:pPr>
        <w:pStyle w:val="ListParagraph"/>
        <w:numPr>
          <w:ilvl w:val="0"/>
          <w:numId w:val="3"/>
        </w:numPr>
        <w:ind w:left="360"/>
        <w:rPr>
          <w:rFonts w:cstheme="minorHAnsi"/>
        </w:rPr>
      </w:pPr>
      <w:r w:rsidRPr="002E1AEA">
        <w:rPr>
          <w:rFonts w:cstheme="minorHAnsi"/>
        </w:rPr>
        <w:t>Jot down key words and phrases</w:t>
      </w:r>
      <w:r w:rsidR="00BD4440" w:rsidRPr="002E1AEA">
        <w:rPr>
          <w:rFonts w:cstheme="minorHAnsi"/>
        </w:rPr>
        <w:t xml:space="preserve"> that </w:t>
      </w:r>
      <w:r w:rsidR="007A2C96" w:rsidRPr="002E1AEA">
        <w:rPr>
          <w:rFonts w:cstheme="minorHAnsi"/>
        </w:rPr>
        <w:t>energize</w:t>
      </w:r>
      <w:r w:rsidR="00BD4440" w:rsidRPr="002E1AEA">
        <w:rPr>
          <w:rFonts w:cstheme="minorHAnsi"/>
        </w:rPr>
        <w:t xml:space="preserve"> your engagement for this work.</w:t>
      </w:r>
    </w:p>
    <w:p w14:paraId="1C798A7F" w14:textId="77777777" w:rsidR="007A2C96" w:rsidRDefault="007A2C96" w:rsidP="002E1AEA">
      <w:pPr>
        <w:ind w:left="360"/>
      </w:pPr>
    </w:p>
    <w:p w14:paraId="32164691" w14:textId="46DE36DC" w:rsidR="00BD4440" w:rsidRDefault="00BD4440" w:rsidP="002E1AEA">
      <w:pPr>
        <w:ind w:left="360"/>
      </w:pPr>
    </w:p>
    <w:p w14:paraId="2BC230F8" w14:textId="40898EA7" w:rsidR="007A2C96" w:rsidRPr="002E1AEA" w:rsidRDefault="007A2C96" w:rsidP="002E1AEA">
      <w:pPr>
        <w:pStyle w:val="ListParagraph"/>
        <w:numPr>
          <w:ilvl w:val="0"/>
          <w:numId w:val="3"/>
        </w:numPr>
        <w:ind w:left="360"/>
        <w:rPr>
          <w:rFonts w:cstheme="minorHAnsi"/>
        </w:rPr>
      </w:pPr>
      <w:r w:rsidRPr="002E1AEA">
        <w:rPr>
          <w:rFonts w:cstheme="minorHAnsi"/>
        </w:rPr>
        <w:t>What are the ramifications of these words as you move forward with broadband planning?  What path does this put you on to reach the vision?</w:t>
      </w:r>
    </w:p>
    <w:p w14:paraId="5463F02C" w14:textId="77777777" w:rsidR="00695D2F" w:rsidRDefault="00695D2F" w:rsidP="002E1AEA">
      <w:pPr>
        <w:ind w:left="360"/>
        <w:rPr>
          <w:rFonts w:cstheme="minorHAnsi"/>
        </w:rPr>
      </w:pPr>
    </w:p>
    <w:p w14:paraId="0CAB87CD" w14:textId="77777777" w:rsidR="007A2C96" w:rsidRDefault="007A2C96" w:rsidP="002E1AEA">
      <w:pPr>
        <w:ind w:left="360"/>
        <w:rPr>
          <w:rFonts w:cstheme="minorHAnsi"/>
        </w:rPr>
      </w:pPr>
    </w:p>
    <w:p w14:paraId="1F7EDFE2" w14:textId="59982C3C" w:rsidR="00B440F0" w:rsidRPr="002E1AEA" w:rsidRDefault="00BD4440" w:rsidP="002E1AEA">
      <w:pPr>
        <w:pStyle w:val="ListParagraph"/>
        <w:numPr>
          <w:ilvl w:val="0"/>
          <w:numId w:val="3"/>
        </w:numPr>
        <w:ind w:left="360"/>
        <w:rPr>
          <w:rFonts w:cstheme="minorHAnsi"/>
        </w:rPr>
      </w:pPr>
      <w:r w:rsidRPr="002E1AEA">
        <w:rPr>
          <w:rFonts w:cstheme="minorHAnsi"/>
        </w:rPr>
        <w:t>Who needs to be involved in creating and promoting our community’s broadband vision?</w:t>
      </w:r>
    </w:p>
    <w:p w14:paraId="6D3CDDBF" w14:textId="77777777" w:rsidR="00695D2F" w:rsidRDefault="00695D2F" w:rsidP="002E1AEA">
      <w:pPr>
        <w:ind w:left="360"/>
        <w:rPr>
          <w:rFonts w:cstheme="minorHAnsi"/>
        </w:rPr>
      </w:pPr>
    </w:p>
    <w:p w14:paraId="03392249" w14:textId="41E4FAC6" w:rsidR="007A2C96" w:rsidRDefault="007A2C96" w:rsidP="002E1AEA">
      <w:pPr>
        <w:ind w:left="360"/>
        <w:rPr>
          <w:rFonts w:cstheme="minorHAnsi"/>
        </w:rPr>
      </w:pPr>
    </w:p>
    <w:p w14:paraId="087556E0" w14:textId="66AC3696" w:rsidR="007A2C96" w:rsidRPr="002E1AEA" w:rsidRDefault="007A2C96" w:rsidP="002E1AEA">
      <w:pPr>
        <w:pStyle w:val="ListParagraph"/>
        <w:numPr>
          <w:ilvl w:val="0"/>
          <w:numId w:val="3"/>
        </w:numPr>
        <w:ind w:left="360"/>
        <w:rPr>
          <w:rFonts w:cstheme="minorHAnsi"/>
        </w:rPr>
      </w:pPr>
      <w:bookmarkStart w:id="0" w:name="_GoBack"/>
      <w:bookmarkEnd w:id="0"/>
      <w:r w:rsidRPr="002E1AEA">
        <w:rPr>
          <w:rFonts w:cstheme="minorHAnsi"/>
        </w:rPr>
        <w:t>By what date should we have a consensus on a preliminary vision statement developed?</w:t>
      </w:r>
    </w:p>
    <w:p w14:paraId="59F752C8" w14:textId="5313DA6D" w:rsidR="007A2C96" w:rsidRDefault="007A2C96" w:rsidP="00B440F0">
      <w:pPr>
        <w:rPr>
          <w:rFonts w:cstheme="minorHAnsi"/>
        </w:rPr>
      </w:pPr>
    </w:p>
    <w:p w14:paraId="3BAF731F" w14:textId="77777777" w:rsidR="00695D2F" w:rsidRDefault="00695D2F" w:rsidP="00B440F0">
      <w:pPr>
        <w:rPr>
          <w:rFonts w:cstheme="minorHAnsi"/>
        </w:rPr>
      </w:pPr>
    </w:p>
    <w:p w14:paraId="2C09BC7D" w14:textId="0C90C767" w:rsidR="00BD4440" w:rsidRDefault="00BD4440" w:rsidP="00B440F0">
      <w:pPr>
        <w:rPr>
          <w:rFonts w:cstheme="minorHAnsi"/>
        </w:rPr>
      </w:pPr>
    </w:p>
    <w:p w14:paraId="293E728A" w14:textId="4F8D91B1" w:rsidR="00BD4440" w:rsidRDefault="007A2C96" w:rsidP="00023AAF">
      <w:pPr>
        <w:pBdr>
          <w:bottom w:val="single" w:sz="4" w:space="1" w:color="auto"/>
        </w:pBdr>
        <w:spacing w:after="120"/>
        <w:rPr>
          <w:rFonts w:cstheme="minorHAnsi"/>
          <w:b/>
          <w:bCs/>
        </w:rPr>
      </w:pPr>
      <w:r>
        <w:rPr>
          <w:rFonts w:cstheme="minorHAnsi"/>
          <w:b/>
          <w:bCs/>
        </w:rPr>
        <w:t>Key Community Question:</w:t>
      </w:r>
    </w:p>
    <w:p w14:paraId="051B1516" w14:textId="4B4346F1" w:rsidR="007A2C96" w:rsidRPr="00023AAF" w:rsidRDefault="007A2C96" w:rsidP="00B440F0">
      <w:pPr>
        <w:rPr>
          <w:rFonts w:cstheme="minorHAnsi"/>
        </w:rPr>
      </w:pPr>
      <w:r w:rsidRPr="00023AAF">
        <w:rPr>
          <w:rFonts w:cstheme="minorHAnsi"/>
        </w:rPr>
        <w:t>What is our vision?</w:t>
      </w:r>
    </w:p>
    <w:p w14:paraId="71B33469" w14:textId="77777777" w:rsidR="00C50BF1" w:rsidRDefault="00C50BF1"/>
    <w:sectPr w:rsidR="00C50BF1" w:rsidSect="00023AAF">
      <w:headerReference w:type="default" r:id="rId7"/>
      <w:footerReference w:type="default" r:id="rId8"/>
      <w:pgSz w:w="12240" w:h="15840"/>
      <w:pgMar w:top="1440" w:right="1440" w:bottom="1440" w:left="1440" w:header="900" w:footer="4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6B53A" w14:textId="77777777" w:rsidR="00AC556F" w:rsidRDefault="00AC556F" w:rsidP="004D722E">
      <w:r>
        <w:separator/>
      </w:r>
    </w:p>
  </w:endnote>
  <w:endnote w:type="continuationSeparator" w:id="0">
    <w:p w14:paraId="420A7DE7" w14:textId="77777777" w:rsidR="00AC556F" w:rsidRDefault="00AC556F" w:rsidP="004D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9A053" w14:textId="5212D695" w:rsidR="00CE71D5" w:rsidRDefault="00CE71D5" w:rsidP="00CE71D5">
    <w:pPr>
      <w:pStyle w:val="Footer"/>
      <w:jc w:val="right"/>
    </w:pPr>
    <w:r>
      <w:rPr>
        <w:noProof/>
      </w:rPr>
      <w:drawing>
        <wp:inline distT="0" distB="0" distL="0" distR="0" wp14:anchorId="37BEEDEB" wp14:editId="426F5E75">
          <wp:extent cx="2449253" cy="434649"/>
          <wp:effectExtent l="0" t="0" r="0" b="3810"/>
          <wp:docPr id="10" name="Picture 10"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oriz.brown small.jpg"/>
                  <pic:cNvPicPr/>
                </pic:nvPicPr>
                <pic:blipFill>
                  <a:blip r:embed="rId1">
                    <a:extLst>
                      <a:ext uri="{28A0092B-C50C-407E-A947-70E740481C1C}">
                        <a14:useLocalDpi xmlns:a14="http://schemas.microsoft.com/office/drawing/2010/main" val="0"/>
                      </a:ext>
                    </a:extLst>
                  </a:blip>
                  <a:stretch>
                    <a:fillRect/>
                  </a:stretch>
                </pic:blipFill>
                <pic:spPr>
                  <a:xfrm>
                    <a:off x="0" y="0"/>
                    <a:ext cx="2505970" cy="4447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DE530" w14:textId="77777777" w:rsidR="00AC556F" w:rsidRDefault="00AC556F" w:rsidP="004D722E">
      <w:r>
        <w:separator/>
      </w:r>
    </w:p>
  </w:footnote>
  <w:footnote w:type="continuationSeparator" w:id="0">
    <w:p w14:paraId="3DA488F7" w14:textId="77777777" w:rsidR="00AC556F" w:rsidRDefault="00AC556F" w:rsidP="004D7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5B28C" w14:textId="3EA82F03" w:rsidR="00CE71D5" w:rsidRPr="00CE71D5" w:rsidRDefault="00CE71D5" w:rsidP="00CE71D5">
    <w:pPr>
      <w:jc w:val="center"/>
      <w:rPr>
        <w:sz w:val="32"/>
        <w:szCs w:val="32"/>
      </w:rPr>
    </w:pPr>
    <w:r w:rsidRPr="00CE71D5">
      <w:rPr>
        <w:sz w:val="32"/>
        <w:szCs w:val="32"/>
      </w:rPr>
      <w:t>Blandin Broadband Leadership Webinar Series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46ECB"/>
    <w:multiLevelType w:val="hybridMultilevel"/>
    <w:tmpl w:val="80BAC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B67F09"/>
    <w:multiLevelType w:val="hybridMultilevel"/>
    <w:tmpl w:val="9222C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DD7B61"/>
    <w:multiLevelType w:val="hybridMultilevel"/>
    <w:tmpl w:val="7B5CF0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832C05"/>
    <w:multiLevelType w:val="hybridMultilevel"/>
    <w:tmpl w:val="A1549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0F0"/>
    <w:rsid w:val="00023AAF"/>
    <w:rsid w:val="00063E35"/>
    <w:rsid w:val="002E1AEA"/>
    <w:rsid w:val="004D722E"/>
    <w:rsid w:val="005E4D4D"/>
    <w:rsid w:val="0067407D"/>
    <w:rsid w:val="00695D2F"/>
    <w:rsid w:val="007A2C96"/>
    <w:rsid w:val="00933E5C"/>
    <w:rsid w:val="00AC556F"/>
    <w:rsid w:val="00B440F0"/>
    <w:rsid w:val="00BD4440"/>
    <w:rsid w:val="00BE368B"/>
    <w:rsid w:val="00C50BF1"/>
    <w:rsid w:val="00CE71D5"/>
    <w:rsid w:val="00E96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576C5"/>
  <w15:chartTrackingRefBased/>
  <w15:docId w15:val="{EE993061-255B-AB47-B863-81A42F39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440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4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440"/>
    <w:pPr>
      <w:ind w:left="720"/>
      <w:contextualSpacing/>
    </w:pPr>
  </w:style>
  <w:style w:type="paragraph" w:styleId="Header">
    <w:name w:val="header"/>
    <w:basedOn w:val="Normal"/>
    <w:link w:val="HeaderChar"/>
    <w:uiPriority w:val="99"/>
    <w:unhideWhenUsed/>
    <w:rsid w:val="004D722E"/>
    <w:pPr>
      <w:tabs>
        <w:tab w:val="center" w:pos="4680"/>
        <w:tab w:val="right" w:pos="9360"/>
      </w:tabs>
    </w:pPr>
  </w:style>
  <w:style w:type="character" w:customStyle="1" w:styleId="HeaderChar">
    <w:name w:val="Header Char"/>
    <w:basedOn w:val="DefaultParagraphFont"/>
    <w:link w:val="Header"/>
    <w:uiPriority w:val="99"/>
    <w:rsid w:val="004D722E"/>
  </w:style>
  <w:style w:type="paragraph" w:styleId="Footer">
    <w:name w:val="footer"/>
    <w:basedOn w:val="Normal"/>
    <w:link w:val="FooterChar"/>
    <w:uiPriority w:val="99"/>
    <w:unhideWhenUsed/>
    <w:rsid w:val="004D722E"/>
    <w:pPr>
      <w:tabs>
        <w:tab w:val="center" w:pos="4680"/>
        <w:tab w:val="right" w:pos="9360"/>
      </w:tabs>
    </w:pPr>
  </w:style>
  <w:style w:type="character" w:customStyle="1" w:styleId="FooterChar">
    <w:name w:val="Footer Char"/>
    <w:basedOn w:val="DefaultParagraphFont"/>
    <w:link w:val="Footer"/>
    <w:uiPriority w:val="99"/>
    <w:rsid w:val="004D7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Coleman</dc:creator>
  <cp:keywords/>
  <dc:description/>
  <cp:lastModifiedBy>Mary Magnuson</cp:lastModifiedBy>
  <cp:revision>4</cp:revision>
  <dcterms:created xsi:type="dcterms:W3CDTF">2020-03-26T18:15:00Z</dcterms:created>
  <dcterms:modified xsi:type="dcterms:W3CDTF">2020-03-27T16:51:00Z</dcterms:modified>
</cp:coreProperties>
</file>